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b/>
          <w:sz w:val="28"/>
          <w:szCs w:val="28"/>
          <w:lang w:val="en-IN"/>
        </w:rPr>
      </w:pPr>
      <w:r>
        <w:rPr>
          <w:b/>
          <w:sz w:val="28"/>
          <w:szCs w:val="28"/>
          <w:lang w:val="en-IN"/>
        </w:rPr>
        <w:t>Rupali Chandrakant Jadhav</w:t>
      </w:r>
    </w:p>
    <w:p>
      <w:pPr>
        <w:jc w:val="center"/>
        <w:rPr>
          <w:rFonts w:ascii="Verdana" w:hAnsi="Verdana"/>
        </w:rPr>
      </w:pPr>
      <w:r>
        <w:rPr>
          <w:rFonts w:ascii="Verdana" w:hAnsi="Verdana"/>
          <w:b/>
        </w:rPr>
        <w:t>Email</w:t>
      </w:r>
      <w:r>
        <w:rPr>
          <w:rFonts w:ascii="Verdana" w:hAnsi="Verdana"/>
        </w:rPr>
        <w:t xml:space="preserve">: jadhav.rupali1000@yahoo.com </w:t>
      </w:r>
      <w:r>
        <w:rPr>
          <w:rFonts w:ascii="Verdana" w:hAnsi="Verdana"/>
        </w:rPr>
        <w:sym w:font="Wingdings" w:char="F077"/>
      </w:r>
      <w:r>
        <w:rPr>
          <w:rFonts w:ascii="Verdana" w:hAnsi="Verdana"/>
          <w:b/>
        </w:rPr>
        <w:t>Mob</w:t>
      </w:r>
      <w:r>
        <w:rPr>
          <w:rFonts w:ascii="Verdana" w:hAnsi="Verdana"/>
        </w:rPr>
        <w:t>:  8</w:t>
      </w:r>
      <w:r>
        <w:rPr>
          <w:lang w:val="en-US"/>
        </w:rPr>
        <w:t>779665290</w:t>
      </w:r>
    </w:p>
    <w:p>
      <w:pPr>
        <w:pBdr>
          <w:bottom w:val="single" w:sz="4" w:space="1" w:color="auto"/>
        </w:pBdr>
        <w:jc w:val="center"/>
        <w:rPr>
          <w:rFonts w:ascii="Verdana" w:hAnsi="Verdana"/>
          <w:sz w:val="4"/>
          <w:szCs w:val="4"/>
        </w:rPr>
      </w:pPr>
    </w:p>
    <w:p>
      <w:pPr>
        <w:jc w:val="both"/>
        <w:rPr>
          <w:rFonts w:ascii="Verdana" w:hAnsi="Verdana"/>
          <w:sz w:val="10"/>
          <w:szCs w:val="10"/>
        </w:rPr>
      </w:pPr>
    </w:p>
    <w:p>
      <w:pPr>
        <w:jc w:val="both"/>
        <w:rPr>
          <w:rFonts w:ascii="Verdana" w:hAnsi="Verdana"/>
          <w:sz w:val="10"/>
          <w:szCs w:val="10"/>
        </w:rPr>
      </w:pPr>
    </w:p>
    <w:p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Qualification - B.Com,ICWA</w:t>
      </w:r>
    </w:p>
    <w:p>
      <w:pPr>
        <w:jc w:val="both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Objective: As a Qualified Cost Accountant I seek an opportunity to prove my expertise in Costing and finance.</w:t>
      </w:r>
    </w:p>
    <w:p>
      <w:pPr>
        <w:pBdr>
          <w:bottom w:val="single" w:sz="12" w:space="1" w:color="auto"/>
        </w:pBdr>
        <w:shd w:val="clear" w:color="auto" w:fill="D9D9D9"/>
        <w:rPr>
          <w:rFonts w:ascii="Verdana" w:hAnsi="Verdana"/>
          <w:b/>
        </w:rPr>
      </w:pPr>
      <w:r>
        <w:rPr>
          <w:rFonts w:ascii="Verdana" w:hAnsi="Verdana"/>
          <w:b/>
          <w:bCs/>
          <w:caps w:val="0"/>
          <w:smallCaps/>
          <w:sz w:val="20"/>
          <w:szCs w:val="20"/>
        </w:rPr>
        <w:t>Professional Experience:-</w:t>
      </w:r>
    </w:p>
    <w:p>
      <w:pPr>
        <w:ind w:left="360"/>
        <w:jc w:val="both"/>
        <w:rPr>
          <w:b/>
          <w:lang w:val="en-US"/>
        </w:rPr>
      </w:pPr>
      <w:r>
        <w:rPr>
          <w:b/>
          <w:lang w:val="en-US"/>
        </w:rPr>
        <w:t>1) Unity jewels pvt Ltd -Assistant Manager (From September,,25)</w:t>
      </w:r>
    </w:p>
    <w:p>
      <w:pPr>
        <w:ind w:left="360"/>
        <w:jc w:val="both"/>
        <w:rPr>
          <w:b/>
          <w:lang w:val="en-US"/>
        </w:rPr>
      </w:pPr>
    </w:p>
    <w:p>
      <w:pPr>
        <w:ind w:left="360"/>
        <w:jc w:val="both"/>
        <w:rPr>
          <w:b/>
          <w:lang w:val="en-US"/>
        </w:rPr>
      </w:pPr>
      <w:r>
        <w:rPr>
          <w:b/>
          <w:lang w:val="en-US"/>
        </w:rPr>
        <w:t>profile:-</w:t>
      </w:r>
    </w:p>
    <w:p>
      <w:pPr>
        <w:ind w:left="360"/>
        <w:jc w:val="both"/>
        <w:rPr>
          <w:b/>
          <w:lang w:val="en-US"/>
        </w:rPr>
      </w:pPr>
      <w:r>
        <w:rPr>
          <w:b/>
          <w:lang w:val="en-US"/>
        </w:rPr>
        <w:t xml:space="preserve">Product costing </w:t>
      </w:r>
    </w:p>
    <w:p>
      <w:pPr>
        <w:ind w:left="360"/>
        <w:jc w:val="both"/>
        <w:rPr>
          <w:b/>
          <w:lang w:val="en-US"/>
        </w:rPr>
      </w:pPr>
      <w:r>
        <w:rPr>
          <w:b/>
          <w:lang w:val="en-US"/>
        </w:rPr>
        <w:t xml:space="preserve">MIS Report </w:t>
      </w:r>
    </w:p>
    <w:p>
      <w:pPr>
        <w:ind w:left="360"/>
        <w:jc w:val="both"/>
        <w:rPr>
          <w:b/>
        </w:rPr>
      </w:pPr>
      <w:r>
        <w:rPr>
          <w:b/>
          <w:lang w:val="en-US"/>
        </w:rPr>
        <w:t>Accounting Sales, Purchase</w:t>
      </w:r>
    </w:p>
    <w:p>
      <w:pPr>
        <w:ind w:firstLine="0"/>
        <w:jc w:val="both"/>
        <w:rPr>
          <w:rFonts w:ascii="Verdana" w:hAnsi="Verdana"/>
          <w:b/>
        </w:rPr>
      </w:pPr>
    </w:p>
    <w:p>
      <w:pPr>
        <w:ind w:left="360"/>
        <w:jc w:val="both"/>
        <w:rPr>
          <w:rFonts w:ascii="Verdana" w:hAnsi="Verdana"/>
          <w:b/>
        </w:rPr>
      </w:pPr>
      <w:r>
        <w:rPr>
          <w:b/>
          <w:lang w:val="en-US"/>
        </w:rPr>
        <w:t>2</w:t>
      </w:r>
      <w:r>
        <w:rPr>
          <w:rFonts w:ascii="Verdana" w:hAnsi="Verdana"/>
          <w:b/>
        </w:rPr>
        <w:t>) Savita Oil Technologies Ltd</w:t>
      </w:r>
    </w:p>
    <w:p>
      <w:pPr>
        <w:ind w:left="72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Designation:-</w:t>
      </w:r>
      <w:r>
        <w:rPr>
          <w:b/>
          <w:lang w:val="en-US"/>
        </w:rPr>
        <w:t>Manager</w:t>
      </w:r>
      <w:r>
        <w:rPr>
          <w:rFonts w:ascii="Verdana" w:hAnsi="Verdana"/>
          <w:b/>
        </w:rPr>
        <w:t xml:space="preserve"> (Jan, 2016 to </w:t>
      </w:r>
      <w:r>
        <w:rPr>
          <w:b/>
          <w:lang w:val="en-US"/>
        </w:rPr>
        <w:t>July,24</w:t>
      </w:r>
      <w:r>
        <w:rPr>
          <w:rFonts w:ascii="Verdana" w:hAnsi="Verdana"/>
          <w:b/>
        </w:rPr>
        <w:t>)</w:t>
      </w:r>
    </w:p>
    <w:p>
      <w:pPr>
        <w:ind w:left="72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Profile:-</w:t>
      </w:r>
    </w:p>
    <w:tbl>
      <w:tblPr>
        <w:jc w:val="left"/>
        <w:tblInd w:w="108" w:type="dxa"/>
        <w:tblW w:w="89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2"/>
      </w:tblGrid>
      <w:tr>
        <w:trPr>
          <w:trHeight w:val="300"/>
        </w:trPr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>
        <w:trPr>
          <w:trHeight w:val="300"/>
        </w:trPr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Segment wise Profitability Analysis</w:t>
            </w:r>
          </w:p>
        </w:tc>
      </w:tr>
      <w:tr>
        <w:trPr>
          <w:trHeight w:val="300"/>
        </w:trPr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>
        <w:trPr>
          <w:trHeight w:val="300"/>
        </w:trPr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>
        <w:trPr>
          <w:trHeight w:val="2874"/>
        </w:trPr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Calculation and analysis of per unit margin of Lubes and petroleum products.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Providing statutory audit related schedules pertain to industrial and attain auditor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Costcentrewise expenses and analysis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Batchwise,Product costing with element wise analysis Bom based costing.</w:t>
            </w:r>
          </w:p>
          <w:p>
            <w:pPr>
              <w:spacing w:after="0"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            Calculator of Activity rate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Assisting in decision making of continuing or discontinuation of new project.</w:t>
            </w:r>
          </w:p>
          <w:p>
            <w:pPr>
              <w:spacing w:after="0" w:line="240" w:lineRule="auto"/>
              <w:ind w:left="720" w:firstLine="0"/>
              <w:jc w:val="left"/>
              <w:rPr>
                <w:sz w:val="26"/>
                <w:szCs w:val="26"/>
              </w:rPr>
            </w:pPr>
          </w:p>
          <w:p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Successfully handled budgeting, forecasting, and cost reporting to drive operational efficiency and strategic business decisions.</w:t>
            </w:r>
          </w:p>
          <w:p>
            <w:pPr>
              <w:spacing w:after="0" w:line="240" w:lineRule="auto"/>
              <w:ind w:left="720" w:firstLine="0"/>
              <w:jc w:val="left"/>
              <w:rPr>
                <w:sz w:val="26"/>
                <w:szCs w:val="26"/>
              </w:rPr>
            </w:pPr>
          </w:p>
          <w:p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Delivered comprehensive management reports comparing cost drivers, price factors, and profitability to support commercial decisions.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Played a key role in cost audits and preparation of cost records,ensuring compliance with statutory requirements and internal policies.Preparation of HSNwise cost sheets and solve auditor queries.</w:t>
            </w:r>
          </w:p>
          <w:p>
            <w:pPr>
              <w:spacing w:after="0" w:line="240" w:lineRule="auto"/>
              <w:jc w:val="left"/>
              <w:rPr>
                <w:sz w:val="26"/>
                <w:szCs w:val="26"/>
              </w:rPr>
            </w:pPr>
          </w:p>
          <w:p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Calculation of plantwise and product groupwise Activity rate.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Consolidate data received from various deptts for budget preparation.and prepare budget statement .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Weekly batch costing report and calculation of batch wise margin and analysis.</w:t>
            </w:r>
            <w:bookmarkStart w:id="0" w:name="_GoBack"/>
            <w:bookmarkEnd w:id="0"/>
          </w:p>
          <w:p>
            <w:pPr>
              <w:spacing w:after="0" w:line="240" w:lineRule="auto"/>
              <w:ind w:left="360"/>
              <w:jc w:val="left"/>
              <w:rPr>
                <w:sz w:val="26"/>
                <w:szCs w:val="26"/>
              </w:rPr>
            </w:pPr>
          </w:p>
        </w:tc>
      </w:tr>
      <w:tr>
        <w:trPr>
          <w:trHeight w:val="300"/>
        </w:trPr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>
        <w:trPr>
          <w:trHeight w:val="300"/>
        </w:trPr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ind w:left="720"/>
              <w:jc w:val="both"/>
              <w:rPr>
                <w:sz w:val="26"/>
                <w:szCs w:val="26"/>
              </w:rPr>
            </w:pPr>
          </w:p>
        </w:tc>
      </w:tr>
    </w:tbl>
    <w:p>
      <w:pPr>
        <w:ind w:left="360"/>
        <w:jc w:val="both"/>
        <w:rPr>
          <w:rFonts w:ascii="Verdana" w:hAnsi="Verdana"/>
          <w:b/>
        </w:rPr>
      </w:pPr>
    </w:p>
    <w:p>
      <w:pPr>
        <w:ind w:left="360"/>
        <w:jc w:val="both"/>
        <w:rPr>
          <w:rFonts w:ascii="Verdana" w:hAnsi="Verdana"/>
          <w:b/>
        </w:rPr>
      </w:pPr>
      <w:r>
        <w:rPr>
          <w:b/>
          <w:lang w:val="en-US"/>
        </w:rPr>
        <w:t>3</w:t>
      </w:r>
      <w:r>
        <w:rPr>
          <w:rFonts w:ascii="Verdana" w:hAnsi="Verdana"/>
          <w:b/>
        </w:rPr>
        <w:t>) Bergwerff Organics Pvt Ltd: - Costing Executive (Sept,15 to Jan,16)</w:t>
      </w:r>
    </w:p>
    <w:p>
      <w:pPr>
        <w:ind w:left="72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Profile:-</w:t>
      </w:r>
    </w:p>
    <w:p>
      <w:pPr>
        <w:pStyle w:val="18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MIS Reports.</w:t>
      </w:r>
    </w:p>
    <w:p>
      <w:pPr>
        <w:pStyle w:val="18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Preparation ofGross Contribution&amp;Net Contribution Statement.</w:t>
      </w:r>
    </w:p>
    <w:p>
      <w:pPr>
        <w:ind w:left="360"/>
        <w:jc w:val="both"/>
        <w:rPr>
          <w:rFonts w:ascii="Verdana" w:hAnsi="Verdana"/>
          <w:b/>
        </w:rPr>
      </w:pPr>
    </w:p>
    <w:p>
      <w:pPr>
        <w:ind w:left="360"/>
        <w:jc w:val="both"/>
        <w:rPr>
          <w:rFonts w:ascii="Verdana" w:hAnsi="Verdana"/>
          <w:b/>
        </w:rPr>
      </w:pPr>
      <w:r>
        <w:rPr>
          <w:b/>
          <w:lang w:val="en-US"/>
        </w:rPr>
        <w:t>4</w:t>
      </w:r>
      <w:r>
        <w:rPr>
          <w:rFonts w:ascii="Verdana" w:hAnsi="Verdana"/>
          <w:b/>
        </w:rPr>
        <w:t>) Cipla Ltd</w:t>
      </w:r>
    </w:p>
    <w:p>
      <w:pPr>
        <w:ind w:left="72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Designation:-Management Staff (Jan, 2013 toDec, 2014)</w:t>
      </w:r>
    </w:p>
    <w:p>
      <w:pPr>
        <w:ind w:left="72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Profile:-</w:t>
      </w:r>
    </w:p>
    <w:tbl>
      <w:tblPr>
        <w:jc w:val="left"/>
        <w:tblInd w:w="108" w:type="dxa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Calibri"/>
                <w:color w:val="000000"/>
                <w:sz w:val="26"/>
                <w:szCs w:val="26"/>
              </w:rPr>
            </w:pPr>
            <w:r>
              <w:rPr>
                <w:rFonts w:eastAsia="Times New Roman" w:cs="Calibri"/>
                <w:color w:val="000000"/>
                <w:sz w:val="26"/>
                <w:szCs w:val="26"/>
              </w:rPr>
              <w:t>To work out per batch yield of API Products .comparing with Standard Minimum&amp;Target&amp;Getting reasons for Low Yield.</w:t>
            </w:r>
          </w:p>
        </w:tc>
      </w:tr>
      <w:tr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Calibri"/>
                <w:color w:val="000000"/>
                <w:sz w:val="26"/>
                <w:szCs w:val="26"/>
              </w:rPr>
            </w:pPr>
            <w:r>
              <w:rPr>
                <w:rFonts w:eastAsia="Times New Roman" w:cs="Calibri"/>
                <w:color w:val="000000"/>
                <w:sz w:val="26"/>
                <w:szCs w:val="26"/>
              </w:rPr>
              <w:t>To Work out Batchwise Yield Loss  of Formulation</w:t>
            </w:r>
          </w:p>
        </w:tc>
      </w:tr>
      <w:tr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eastAsia="Times New Roman" w:cs="Calibri"/>
                <w:color w:val="000000"/>
                <w:sz w:val="26"/>
                <w:szCs w:val="26"/>
              </w:rPr>
            </w:pPr>
          </w:p>
        </w:tc>
      </w:tr>
      <w:tr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Calibri"/>
                <w:color w:val="000000"/>
                <w:sz w:val="26"/>
                <w:szCs w:val="26"/>
              </w:rPr>
            </w:pPr>
            <w:r>
              <w:rPr>
                <w:rFonts w:eastAsia="Times New Roman" w:cs="Calibri"/>
                <w:color w:val="000000"/>
                <w:sz w:val="26"/>
                <w:szCs w:val="26"/>
              </w:rPr>
              <w:t>Primary&amp;Secondary Allocation of expenses</w:t>
            </w:r>
          </w:p>
        </w:tc>
      </w:tr>
      <w:tr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Calibri"/>
                <w:color w:val="000000"/>
                <w:sz w:val="26"/>
                <w:szCs w:val="26"/>
              </w:rPr>
            </w:pPr>
            <w:r>
              <w:rPr>
                <w:rFonts w:eastAsia="Times New Roman" w:cs="Calibri"/>
                <w:color w:val="000000"/>
                <w:sz w:val="26"/>
                <w:szCs w:val="26"/>
              </w:rPr>
              <w:t>Preparation of Cost sheets of Product Costing</w:t>
            </w:r>
          </w:p>
        </w:tc>
      </w:tr>
      <w:tr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ind w:left="720"/>
              <w:rPr>
                <w:rFonts w:eastAsia="Times New Roman" w:cs="Calibri"/>
                <w:color w:val="000000"/>
                <w:sz w:val="26"/>
                <w:szCs w:val="26"/>
              </w:rPr>
            </w:pPr>
          </w:p>
        </w:tc>
      </w:tr>
      <w:tr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Calibri"/>
                <w:color w:val="000000"/>
                <w:sz w:val="26"/>
                <w:szCs w:val="26"/>
              </w:rPr>
            </w:pPr>
            <w:r>
              <w:rPr>
                <w:rFonts w:eastAsia="Times New Roman" w:cs="Calibri"/>
                <w:color w:val="000000"/>
                <w:sz w:val="26"/>
                <w:szCs w:val="26"/>
              </w:rPr>
              <w:t>Calculation of Material Rate, Usage, Yield, Manufacturing Overhead Variance.</w:t>
            </w:r>
          </w:p>
        </w:tc>
      </w:tr>
      <w:tr>
        <w:trPr>
          <w:trHeight w:val="1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18"/>
              <w:rPr>
                <w:szCs w:val="26"/>
              </w:rPr>
            </w:pPr>
          </w:p>
        </w:tc>
      </w:tr>
      <w:tr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Calibri"/>
                <w:color w:val="000000"/>
                <w:sz w:val="26"/>
                <w:szCs w:val="26"/>
              </w:rPr>
            </w:pPr>
            <w:r>
              <w:rPr>
                <w:rFonts w:eastAsia="Times New Roman" w:cs="Calibri"/>
                <w:color w:val="000000"/>
                <w:sz w:val="26"/>
                <w:szCs w:val="26"/>
              </w:rPr>
              <w:t>Batch wiseSolvent Recovery Report..</w:t>
            </w:r>
          </w:p>
        </w:tc>
      </w:tr>
      <w:tr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Calibri"/>
                <w:color w:val="000000"/>
                <w:sz w:val="26"/>
                <w:szCs w:val="26"/>
              </w:rPr>
            </w:pPr>
            <w:r>
              <w:rPr>
                <w:rFonts w:eastAsia="Times New Roman" w:cs="Calibri"/>
                <w:color w:val="000000"/>
                <w:sz w:val="26"/>
                <w:szCs w:val="26"/>
              </w:rPr>
              <w:t>Collection of Power, FO, HSD data from Engineering Dept and reconciliation with Ledgers.</w:t>
            </w:r>
          </w:p>
        </w:tc>
      </w:tr>
      <w:tr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Calibri"/>
                <w:color w:val="000000"/>
                <w:sz w:val="26"/>
                <w:szCs w:val="26"/>
              </w:rPr>
            </w:pPr>
            <w:r>
              <w:rPr>
                <w:rFonts w:eastAsia="Times New Roman" w:cs="Calibri"/>
                <w:color w:val="000000"/>
                <w:sz w:val="26"/>
                <w:szCs w:val="26"/>
              </w:rPr>
              <w:t>Obtaining and monitor processwise Receipe Man, Machine Hours&amp;Power data from Production data&amp;Validation.</w:t>
            </w:r>
          </w:p>
          <w:p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Calibri"/>
                <w:color w:val="000000"/>
                <w:sz w:val="26"/>
                <w:szCs w:val="26"/>
              </w:rPr>
            </w:pPr>
            <w:r>
              <w:rPr>
                <w:rFonts w:eastAsia="Times New Roman" w:cs="Calibri"/>
                <w:color w:val="000000"/>
                <w:sz w:val="26"/>
                <w:szCs w:val="26"/>
                <w:lang w:val="en-US"/>
              </w:rPr>
              <w:t>Assisting in Opex budget preparation and coordination with production,Engg,Stores ,QC deptts.</w:t>
            </w:r>
          </w:p>
          <w:p>
            <w:pPr>
              <w:spacing w:after="0" w:line="240" w:lineRule="auto"/>
              <w:ind w:left="720"/>
              <w:rPr>
                <w:rFonts w:eastAsia="Times New Roman" w:cs="Calibri"/>
                <w:color w:val="000000"/>
                <w:sz w:val="26"/>
                <w:szCs w:val="26"/>
              </w:rPr>
            </w:pPr>
          </w:p>
          <w:p>
            <w:pPr>
              <w:spacing w:after="0" w:line="240" w:lineRule="auto"/>
              <w:ind w:left="720"/>
              <w:rPr>
                <w:rFonts w:eastAsia="Times New Roman" w:cs="Calibri"/>
                <w:color w:val="000000"/>
                <w:sz w:val="26"/>
                <w:szCs w:val="26"/>
              </w:rPr>
            </w:pPr>
          </w:p>
          <w:p>
            <w:pPr>
              <w:spacing w:after="0" w:line="240" w:lineRule="auto"/>
              <w:ind w:left="720"/>
              <w:rPr>
                <w:rFonts w:eastAsia="Times New Roman" w:cs="Calibri"/>
                <w:color w:val="000000"/>
                <w:sz w:val="26"/>
                <w:szCs w:val="26"/>
              </w:rPr>
            </w:pPr>
          </w:p>
        </w:tc>
      </w:tr>
    </w:tbl>
    <w:p>
      <w:pPr>
        <w:jc w:val="both"/>
        <w:rPr>
          <w:rFonts w:ascii="Verdana" w:hAnsi="Verdana"/>
          <w:b/>
        </w:rPr>
      </w:pPr>
      <w:r>
        <w:rPr>
          <w:b/>
          <w:lang w:val="en-US"/>
        </w:rPr>
        <w:t>5</w:t>
      </w:r>
      <w:r>
        <w:rPr>
          <w:rFonts w:ascii="Verdana" w:hAnsi="Verdana"/>
          <w:b/>
        </w:rPr>
        <w:t>) Mafatlal Industries Ltd., Churchgate, Mumbai</w:t>
      </w:r>
    </w:p>
    <w:p>
      <w:pPr>
        <w:jc w:val="center"/>
        <w:rPr>
          <w:rFonts w:ascii="Verdana" w:hAnsi="Verdana"/>
        </w:rPr>
      </w:pPr>
      <w:r>
        <w:rPr>
          <w:rFonts w:ascii="Verdana" w:hAnsi="Verdana"/>
          <w:b/>
        </w:rPr>
        <w:t>Management Trainee (MIS&amp;Reports) (July 2010 – Dec, 12</w:t>
      </w:r>
      <w:r>
        <w:rPr>
          <w:rFonts w:ascii="Verdana" w:hAnsi="Verdana"/>
        </w:rPr>
        <w:t>)</w:t>
      </w:r>
    </w:p>
    <w:p>
      <w:pPr>
        <w:pStyle w:val="20"/>
        <w:pBdr>
          <w:left w:val="none" w:sz="0" w:space="0" w:color="auto"/>
        </w:pBdr>
        <w:spacing w:after="0"/>
        <w:jc w:val="both"/>
        <w:rPr>
          <w:rFonts w:ascii="Verdana" w:hAnsi="Verdana"/>
          <w:sz w:val="16"/>
          <w:szCs w:val="16"/>
          <w:lang w:val="en-GB"/>
        </w:rPr>
      </w:pPr>
    </w:p>
    <w:p>
      <w:pPr>
        <w:pStyle w:val="20"/>
        <w:pBdr>
          <w:left w:val="none" w:sz="0" w:space="0" w:color="auto"/>
        </w:pBdr>
        <w:spacing w:after="0"/>
        <w:jc w:val="both"/>
        <w:rPr>
          <w:rFonts w:ascii="Verdana" w:hAnsi="Verdana"/>
          <w:b/>
          <w:sz w:val="22"/>
          <w:szCs w:val="22"/>
          <w:u w:val="single"/>
          <w:lang w:val="en-GB"/>
        </w:rPr>
      </w:pPr>
      <w:r>
        <w:rPr>
          <w:rFonts w:ascii="Verdana" w:hAnsi="Verdana"/>
          <w:b/>
          <w:sz w:val="22"/>
          <w:szCs w:val="22"/>
          <w:u w:val="single"/>
          <w:lang w:val="en-GB"/>
        </w:rPr>
        <w:t>Profile:-</w:t>
      </w:r>
    </w:p>
    <w:p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Preparation of Monthly Report (MIS) and Variance Analysis.</w:t>
      </w:r>
    </w:p>
    <w:p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Product Costing.</w:t>
      </w:r>
    </w:p>
    <w:p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Reconciliation of MIS figures with Accounts for the Quarter Closing and Variance Analysis Report to the Management.</w:t>
      </w:r>
    </w:p>
    <w:p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Accounting of Gratuity Trust.</w:t>
      </w:r>
    </w:p>
    <w:p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Bank Reconciliation.</w:t>
      </w:r>
    </w:p>
    <w:p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Preparation Cash Flow Statement with MIS Reporting.</w:t>
      </w:r>
    </w:p>
    <w:p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TDS Filing.</w:t>
      </w:r>
    </w:p>
    <w:p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Profitability Statement.</w:t>
      </w:r>
    </w:p>
    <w:p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Assisting in finalisation of accounts.</w:t>
      </w:r>
    </w:p>
    <w:p>
      <w:pPr>
        <w:spacing w:after="0" w:line="240" w:lineRule="auto"/>
        <w:jc w:val="both"/>
        <w:rPr>
          <w:sz w:val="26"/>
          <w:szCs w:val="26"/>
        </w:rPr>
      </w:pPr>
    </w:p>
    <w:p>
      <w:pPr>
        <w:jc w:val="center"/>
        <w:rPr>
          <w:rFonts w:ascii="Verdana" w:hAnsi="Verdana"/>
          <w:b/>
        </w:rPr>
      </w:pPr>
      <w:r>
        <w:rPr>
          <w:b/>
          <w:sz w:val="26"/>
          <w:szCs w:val="26"/>
          <w:lang w:val="en-US"/>
        </w:rPr>
        <w:t>6</w:t>
      </w:r>
      <w:r>
        <w:rPr>
          <w:rFonts w:ascii="Verdana" w:hAnsi="Verdana"/>
          <w:b/>
          <w:sz w:val="26"/>
          <w:szCs w:val="26"/>
        </w:rPr>
        <w:t>)</w:t>
      </w:r>
      <w:r>
        <w:rPr>
          <w:rFonts w:ascii="Verdana" w:hAnsi="Verdana"/>
          <w:b/>
        </w:rPr>
        <w:t xml:space="preserve"> Reliance Industries Limited, Navi Mumbai</w:t>
      </w:r>
    </w:p>
    <w:p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</w:rPr>
        <w:t>Accounts Executive (A/c Payable) (Dec 2007 – April 2009</w:t>
      </w:r>
      <w:r>
        <w:rPr>
          <w:rFonts w:ascii="Verdana" w:hAnsi="Verdana"/>
          <w:b/>
          <w:sz w:val="20"/>
          <w:szCs w:val="20"/>
        </w:rPr>
        <w:t>)</w:t>
      </w:r>
    </w:p>
    <w:p>
      <w:pPr>
        <w:pStyle w:val="20"/>
        <w:pBdr>
          <w:left w:val="none" w:sz="0" w:space="0" w:color="auto"/>
        </w:pBdr>
        <w:spacing w:after="0"/>
        <w:jc w:val="both"/>
        <w:rPr>
          <w:rFonts w:ascii="Verdana" w:hAnsi="Verdana"/>
          <w:b/>
          <w:u w:val="single"/>
          <w:lang w:val="en-GB"/>
        </w:rPr>
      </w:pPr>
      <w:r>
        <w:rPr>
          <w:rFonts w:ascii="Verdana" w:hAnsi="Verdana"/>
          <w:b/>
          <w:u w:val="single"/>
          <w:lang w:val="en-GB"/>
        </w:rPr>
        <w:t>Profile:-</w:t>
      </w:r>
    </w:p>
    <w:p>
      <w:pPr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Efficiently handled all material payments.</w:t>
      </w:r>
    </w:p>
    <w:p>
      <w:pPr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Took care of Invoice booking of Material purchases provided and accounting </w:t>
      </w:r>
    </w:p>
    <w:p>
      <w:pPr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Ensured invoices received from vendors are incompliance with the necessary laws and regulations.</w:t>
      </w:r>
    </w:p>
    <w:p>
      <w:pPr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Managed Proper Accounting of Indirect taxes, ensuring Indirect tax (VAT and Excise credits) is taken.</w:t>
      </w:r>
    </w:p>
    <w:p>
      <w:pPr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Responded to vendor queries in terms of outstanding payments and reconciling vendor balances.</w:t>
      </w:r>
    </w:p>
    <w:p>
      <w:pPr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Coordinated with procurement and business group for resolving pending issues.</w:t>
      </w:r>
    </w:p>
    <w:p>
      <w:pPr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Successfully handled G/L Scrutiny, Monthly analysis of cost centre wise booking of expenses.</w:t>
      </w:r>
    </w:p>
    <w:p>
      <w:pPr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Adeptly managed accounting operations by using </w:t>
      </w:r>
      <w:r>
        <w:rPr>
          <w:rFonts w:ascii="Verdana" w:hAnsi="Verdana"/>
          <w:b/>
          <w:lang w:val="en-GB"/>
        </w:rPr>
        <w:t>SAP</w:t>
      </w:r>
      <w:r>
        <w:rPr>
          <w:rFonts w:ascii="Verdana" w:hAnsi="Verdana"/>
          <w:lang w:val="en-GB"/>
        </w:rPr>
        <w:t>.</w:t>
      </w:r>
    </w:p>
    <w:p>
      <w:pPr>
        <w:spacing w:after="0" w:line="240" w:lineRule="auto"/>
        <w:ind w:left="360"/>
        <w:jc w:val="both"/>
        <w:rPr>
          <w:rFonts w:ascii="Verdana" w:hAnsi="Verdana"/>
          <w:lang w:val="en-GB"/>
        </w:rPr>
      </w:pPr>
    </w:p>
    <w:p>
      <w:pPr>
        <w:spacing w:after="0" w:line="240" w:lineRule="auto"/>
        <w:jc w:val="both"/>
        <w:rPr>
          <w:sz w:val="26"/>
          <w:szCs w:val="26"/>
        </w:rPr>
      </w:pPr>
    </w:p>
    <w:p>
      <w:pPr>
        <w:pBdr>
          <w:bottom w:val="single" w:sz="12" w:space="1" w:color="auto"/>
        </w:pBdr>
        <w:shd w:val="clear" w:color="auto" w:fill="D9D9D9"/>
        <w:rPr>
          <w:rFonts w:ascii="Verdana" w:hAnsi="Verdana"/>
          <w:b/>
          <w:bCs/>
          <w:caps w:val="0"/>
          <w:smallCaps/>
          <w:sz w:val="20"/>
          <w:szCs w:val="20"/>
        </w:rPr>
      </w:pPr>
      <w:r>
        <w:rPr>
          <w:rFonts w:ascii="Verdana" w:hAnsi="Verdana"/>
          <w:b/>
          <w:bCs/>
          <w:caps w:val="0"/>
          <w:smallCaps/>
          <w:sz w:val="20"/>
          <w:szCs w:val="20"/>
        </w:rPr>
        <w:t>Education:-</w:t>
      </w:r>
    </w:p>
    <w:tbl>
      <w:tblPr>
        <w:jc w:val="left"/>
        <w:tblInd w:w="-162" w:type="dxa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1440"/>
        <w:gridCol w:w="3870"/>
        <w:gridCol w:w="2700"/>
      </w:tblGrid>
      <w:tr>
        <w:trPr>
          <w:trHeight w:val="28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CACA"/>
            <w:vAlign w:val="center"/>
          </w:tcPr>
          <w:p>
            <w:pPr>
              <w:spacing w:after="0" w:line="240" w:lineRule="auto"/>
              <w:ind w:left="360"/>
              <w:jc w:val="both"/>
              <w:rPr>
                <w:rFonts w:ascii="Arial" w:cs="Arial" w:hAnsi="Arial"/>
                <w:b/>
                <w:sz w:val="20"/>
                <w:szCs w:val="20"/>
                <w:lang w:val="en-GB"/>
              </w:rPr>
            </w:pPr>
            <w:r>
              <w:rPr>
                <w:rFonts w:ascii="Arial" w:cs="Arial" w:hAnsi="Arial"/>
                <w:b/>
                <w:sz w:val="20"/>
                <w:szCs w:val="20"/>
                <w:lang w:val="en-GB"/>
              </w:rPr>
              <w:t>Examination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CACA"/>
            <w:vAlign w:val="center"/>
          </w:tcPr>
          <w:p>
            <w:pPr>
              <w:spacing w:after="0" w:line="240" w:lineRule="auto"/>
              <w:ind w:left="360"/>
              <w:jc w:val="both"/>
              <w:rPr>
                <w:rFonts w:ascii="Arial" w:cs="Arial" w:hAnsi="Arial"/>
                <w:b/>
                <w:sz w:val="20"/>
                <w:szCs w:val="20"/>
                <w:lang w:val="en-GB"/>
              </w:rPr>
            </w:pPr>
            <w:r>
              <w:rPr>
                <w:rFonts w:ascii="Arial" w:cs="Arial" w:hAnsi="Arial"/>
                <w:b/>
                <w:sz w:val="20"/>
                <w:szCs w:val="20"/>
                <w:lang w:val="en-GB"/>
              </w:rPr>
              <w:t>Year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CACA"/>
            <w:vAlign w:val="center"/>
          </w:tcPr>
          <w:p>
            <w:pPr>
              <w:spacing w:after="0" w:line="240" w:lineRule="auto"/>
              <w:ind w:left="360"/>
              <w:jc w:val="both"/>
              <w:rPr>
                <w:rFonts w:ascii="Arial" w:cs="Arial" w:hAnsi="Arial"/>
                <w:b/>
                <w:sz w:val="20"/>
                <w:szCs w:val="20"/>
                <w:lang w:val="en-GB"/>
              </w:rPr>
            </w:pPr>
            <w:r>
              <w:rPr>
                <w:rFonts w:ascii="Arial" w:cs="Arial" w:hAnsi="Arial"/>
                <w:b/>
                <w:sz w:val="20"/>
                <w:szCs w:val="20"/>
                <w:lang w:val="en-GB"/>
              </w:rPr>
              <w:t>BOARD/INSTITUTE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CACA"/>
            <w:vAlign w:val="center"/>
          </w:tcPr>
          <w:p>
            <w:pPr>
              <w:spacing w:after="0" w:line="240" w:lineRule="auto"/>
              <w:ind w:left="360"/>
              <w:jc w:val="both"/>
              <w:rPr>
                <w:rFonts w:ascii="Arial" w:cs="Arial" w:hAnsi="Arial"/>
                <w:b/>
                <w:sz w:val="20"/>
                <w:szCs w:val="20"/>
                <w:lang w:val="en-GB"/>
              </w:rPr>
            </w:pPr>
            <w:r>
              <w:rPr>
                <w:rFonts w:ascii="Arial" w:cs="Arial" w:hAnsi="Arial"/>
                <w:b/>
                <w:sz w:val="20"/>
                <w:szCs w:val="20"/>
                <w:lang w:val="en-GB"/>
              </w:rPr>
              <w:t>Percentage</w:t>
            </w:r>
          </w:p>
        </w:tc>
      </w:tr>
      <w:tr>
        <w:trPr>
          <w:trHeight w:val="71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</w:p>
          <w:p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ICWA-Final</w:t>
            </w:r>
          </w:p>
          <w:p>
            <w:pPr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</w:p>
          <w:p>
            <w:pPr>
              <w:spacing w:after="0" w:line="240" w:lineRule="auto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Dec - 2009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ind w:left="360"/>
              <w:rPr>
                <w:rFonts w:ascii="Arial" w:cs="Arial" w:hAnsi="Arial"/>
                <w:sz w:val="20"/>
                <w:szCs w:val="20"/>
                <w:lang w:val="en-GB"/>
              </w:rPr>
            </w:pPr>
          </w:p>
          <w:p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0"/>
              <w:rPr>
                <w:rFonts w:ascii="Arial" w:cs="Arial" w:hAnsi="Arial"/>
                <w:sz w:val="20"/>
                <w:szCs w:val="20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Institute of Cost And Works Accountants of India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ind w:left="360"/>
              <w:jc w:val="center"/>
              <w:rPr>
                <w:rFonts w:ascii="Arial" w:cs="Arial" w:hAnsi="Arial"/>
                <w:sz w:val="20"/>
                <w:szCs w:val="20"/>
                <w:lang w:val="en-GB"/>
              </w:rPr>
            </w:pPr>
          </w:p>
          <w:p>
            <w:pPr>
              <w:spacing w:after="0" w:line="240" w:lineRule="auto"/>
              <w:ind w:left="360"/>
              <w:rPr>
                <w:rFonts w:ascii="Arial" w:cs="Arial" w:hAnsi="Arial"/>
                <w:sz w:val="20"/>
                <w:szCs w:val="20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51 % (Secured 20</w:t>
            </w:r>
            <w:r>
              <w:rPr>
                <w:rFonts w:ascii="Arial" w:cs="Arial" w:hAnsi="Arial"/>
                <w:vertAlign w:val="superscript"/>
                <w:lang w:val="en-GB"/>
              </w:rPr>
              <w:t>th</w:t>
            </w:r>
            <w:r>
              <w:rPr>
                <w:rFonts w:ascii="Arial" w:cs="Arial" w:hAnsi="Arial"/>
                <w:lang w:val="en-GB"/>
              </w:rPr>
              <w:t xml:space="preserve"> Rank allover India)</w:t>
            </w:r>
          </w:p>
        </w:tc>
      </w:tr>
      <w:tr>
        <w:trPr>
          <w:trHeight w:val="66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cs="Arial" w:hAnsi="Arial"/>
                <w:lang w:val="en-GB"/>
              </w:rPr>
            </w:pPr>
          </w:p>
          <w:p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ICWA-Inter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</w:p>
          <w:p>
            <w:pPr>
              <w:spacing w:after="0" w:line="240" w:lineRule="auto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June- 2007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ind w:left="360"/>
              <w:rPr>
                <w:rFonts w:ascii="Arial" w:cs="Arial" w:hAnsi="Arial"/>
                <w:sz w:val="20"/>
                <w:szCs w:val="20"/>
                <w:lang w:val="en-GB"/>
              </w:rPr>
            </w:pPr>
          </w:p>
          <w:p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Institute of Cost And Works Accountants of India</w:t>
            </w:r>
          </w:p>
          <w:p>
            <w:pPr>
              <w:spacing w:after="0" w:line="240" w:lineRule="auto"/>
              <w:ind w:left="360"/>
              <w:rPr>
                <w:rFonts w:ascii="Arial" w:cs="Arial" w:hAnsi="Arial"/>
                <w:sz w:val="20"/>
                <w:szCs w:val="20"/>
                <w:lang w:val="en-GB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ind w:left="360"/>
              <w:jc w:val="center"/>
              <w:rPr>
                <w:rFonts w:ascii="Arial" w:cs="Arial" w:hAnsi="Arial"/>
                <w:lang w:val="en-GB"/>
              </w:rPr>
            </w:pPr>
          </w:p>
          <w:p>
            <w:pPr>
              <w:spacing w:after="0" w:line="240" w:lineRule="auto"/>
              <w:jc w:val="center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51%</w:t>
            </w:r>
          </w:p>
        </w:tc>
      </w:tr>
      <w:tr>
        <w:trPr>
          <w:trHeight w:val="332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</w:p>
          <w:p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B.Com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</w:p>
          <w:p>
            <w:pPr>
              <w:spacing w:after="0" w:line="240" w:lineRule="auto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Mar -2005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cs="Arial" w:hAnsi="Arial"/>
                <w:lang w:val="en-GB"/>
              </w:rPr>
            </w:pPr>
          </w:p>
          <w:p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Mumbai University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ind w:left="360"/>
              <w:jc w:val="center"/>
              <w:rPr>
                <w:rFonts w:ascii="Arial" w:cs="Arial" w:hAnsi="Arial"/>
                <w:lang w:val="en-GB"/>
              </w:rPr>
            </w:pPr>
          </w:p>
          <w:p>
            <w:pPr>
              <w:spacing w:after="0" w:line="240" w:lineRule="auto"/>
              <w:jc w:val="center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67 %</w:t>
            </w:r>
          </w:p>
        </w:tc>
      </w:tr>
      <w:tr>
        <w:trPr>
          <w:trHeight w:val="332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cs="Arial" w:hAnsi="Arial"/>
                <w:lang w:val="en-GB"/>
              </w:rPr>
            </w:pPr>
          </w:p>
          <w:p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HSC</w:t>
            </w:r>
          </w:p>
          <w:p>
            <w:pPr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cs="Arial" w:hAnsi="Arial"/>
                <w:lang w:val="en-GB"/>
              </w:rPr>
            </w:pPr>
          </w:p>
          <w:p>
            <w:pPr>
              <w:spacing w:after="0" w:line="240" w:lineRule="auto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Mar -2002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</w:p>
          <w:p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Maharashtra HSC board, Mumbai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Arial" w:cs="Arial" w:hAnsi="Arial"/>
                <w:lang w:val="en-GB"/>
              </w:rPr>
            </w:pPr>
          </w:p>
          <w:p>
            <w:pPr>
              <w:spacing w:after="0" w:line="240" w:lineRule="auto"/>
              <w:jc w:val="center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71 %</w:t>
            </w:r>
          </w:p>
        </w:tc>
      </w:tr>
      <w:tr>
        <w:trPr>
          <w:trHeight w:val="63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cs="Arial" w:hAnsi="Arial"/>
                <w:lang w:val="en-GB"/>
              </w:rPr>
            </w:pPr>
          </w:p>
          <w:p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SSC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Arial" w:cs="Arial" w:hAnsi="Arial"/>
                <w:lang w:val="en-GB"/>
              </w:rPr>
            </w:pPr>
          </w:p>
          <w:p>
            <w:pPr>
              <w:spacing w:after="0" w:line="240" w:lineRule="auto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Mar -2000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0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Maharashtra SSC  board, Mumbai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Arial" w:cs="Arial" w:hAnsi="Arial"/>
                <w:lang w:val="en-GB"/>
              </w:rPr>
            </w:pPr>
          </w:p>
          <w:p>
            <w:pPr>
              <w:spacing w:after="0" w:line="240" w:lineRule="auto"/>
              <w:jc w:val="center"/>
              <w:rPr>
                <w:rFonts w:ascii="Arial" w:cs="Arial" w:hAnsi="Arial"/>
                <w:lang w:val="en-GB"/>
              </w:rPr>
            </w:pPr>
            <w:r>
              <w:rPr>
                <w:rFonts w:ascii="Arial" w:cs="Arial" w:hAnsi="Arial"/>
                <w:lang w:val="en-GB"/>
              </w:rPr>
              <w:t>67%</w:t>
            </w:r>
          </w:p>
        </w:tc>
      </w:tr>
    </w:tbl>
    <w:p>
      <w:pPr>
        <w:rPr>
          <w:rFonts w:ascii="Verdana" w:hAnsi="Verdana"/>
          <w:sz w:val="16"/>
          <w:szCs w:val="16"/>
        </w:rPr>
      </w:pPr>
    </w:p>
    <w:p>
      <w:pPr>
        <w:pBdr>
          <w:bottom w:val="single" w:sz="12" w:space="1" w:color="auto"/>
        </w:pBdr>
        <w:shd w:val="clear" w:color="auto" w:fill="D9D9D9"/>
        <w:rPr>
          <w:rFonts w:ascii="Verdana" w:hAnsi="Verdana"/>
          <w:b/>
          <w:bCs/>
          <w:caps w:val="0"/>
          <w:smallCaps/>
          <w:sz w:val="20"/>
          <w:szCs w:val="20"/>
        </w:rPr>
      </w:pPr>
      <w:r>
        <w:rPr>
          <w:rFonts w:ascii="Verdana" w:hAnsi="Verdana"/>
          <w:b/>
          <w:bCs/>
          <w:caps w:val="0"/>
          <w:smallCaps/>
          <w:sz w:val="20"/>
          <w:szCs w:val="20"/>
        </w:rPr>
        <w:t>other qualification:-</w:t>
      </w:r>
    </w:p>
    <w:p>
      <w:pPr>
        <w:rPr>
          <w:rFonts w:ascii="Arial" w:cs="Arial" w:hAnsi="Arial"/>
          <w:b/>
          <w:caps/>
          <w:smallCaps w:val="0"/>
          <w:sz w:val="20"/>
          <w:szCs w:val="20"/>
        </w:rPr>
      </w:pPr>
      <w:r>
        <w:rPr>
          <w:rFonts w:ascii="Arial" w:cs="Arial" w:hAnsi="Arial"/>
          <w:b/>
          <w:caps/>
          <w:smallCaps w:val="0"/>
          <w:sz w:val="20"/>
          <w:szCs w:val="20"/>
        </w:rPr>
        <w:t>SAP (FICO), MSOFFICE, MSEXCEL, INTERNET.ERP-Navision</w:t>
      </w:r>
    </w:p>
    <w:p>
      <w:pPr>
        <w:rPr>
          <w:rFonts w:ascii="Verdana" w:hAnsi="Verdana"/>
          <w:sz w:val="16"/>
          <w:szCs w:val="16"/>
        </w:rPr>
      </w:pPr>
    </w:p>
    <w:p>
      <w:pPr>
        <w:pBdr>
          <w:bottom w:val="single" w:sz="12" w:space="1" w:color="auto"/>
        </w:pBdr>
        <w:shd w:val="clear" w:color="auto" w:fill="D9D9D9"/>
        <w:rPr>
          <w:rFonts w:ascii="Verdana" w:hAnsi="Verdana"/>
          <w:b/>
          <w:bCs/>
          <w:caps w:val="0"/>
          <w:smallCaps/>
          <w:sz w:val="20"/>
          <w:szCs w:val="20"/>
        </w:rPr>
      </w:pPr>
      <w:r>
        <w:rPr>
          <w:rFonts w:ascii="Verdana" w:hAnsi="Verdana"/>
          <w:b/>
          <w:bCs/>
          <w:caps w:val="0"/>
          <w:smallCaps/>
          <w:sz w:val="20"/>
          <w:szCs w:val="20"/>
        </w:rPr>
        <w:t>Personal Details:-</w:t>
      </w:r>
    </w:p>
    <w:p>
      <w:pPr>
        <w:jc w:val="center"/>
        <w:rPr>
          <w:rFonts w:ascii="Verdana" w:hAnsi="Verdana"/>
          <w:sz w:val="20"/>
          <w:szCs w:val="20"/>
          <w:lang w:val="en-GB"/>
        </w:rPr>
      </w:pPr>
      <w:r>
        <w:rPr>
          <w:rFonts w:ascii="Verdana" w:hAnsi="Verdana"/>
          <w:b/>
          <w:sz w:val="20"/>
          <w:szCs w:val="20"/>
          <w:lang w:val="en-GB"/>
        </w:rPr>
        <w:t xml:space="preserve">Date of Birth: </w:t>
      </w:r>
      <w:r>
        <w:rPr>
          <w:rFonts w:ascii="Verdana" w:hAnsi="Verdana"/>
          <w:sz w:val="20"/>
          <w:szCs w:val="20"/>
          <w:lang w:val="en-GB"/>
        </w:rPr>
        <w:t>17Dec</w:t>
      </w:r>
      <w:r>
        <w:rPr>
          <w:rFonts w:ascii="Verdana" w:hAnsi="Verdana"/>
          <w:i/>
          <w:sz w:val="20"/>
          <w:szCs w:val="20"/>
          <w:lang w:val="en-GB"/>
        </w:rPr>
        <w:t>e</w:t>
      </w:r>
      <w:r>
        <w:rPr>
          <w:rFonts w:ascii="Verdana" w:hAnsi="Verdana"/>
          <w:sz w:val="20"/>
          <w:szCs w:val="20"/>
          <w:lang w:val="en-GB"/>
        </w:rPr>
        <w:t>mber 198</w:t>
      </w:r>
      <w:r>
        <w:rPr>
          <w:sz w:val="20"/>
          <w:szCs w:val="20"/>
          <w:lang w:val="en-US"/>
        </w:rPr>
        <w:t>4</w:t>
      </w:r>
    </w:p>
    <w:p>
      <w:pPr>
        <w:jc w:val="center"/>
        <w:rPr>
          <w:rFonts w:ascii="Verdana" w:hAnsi="Verdana"/>
          <w:sz w:val="20"/>
          <w:szCs w:val="20"/>
          <w:lang w:val="en-GB"/>
        </w:rPr>
      </w:pPr>
      <w:r>
        <w:rPr>
          <w:rFonts w:ascii="Verdana" w:hAnsi="Verdana"/>
          <w:b/>
          <w:sz w:val="20"/>
          <w:szCs w:val="20"/>
          <w:lang w:val="en-GB"/>
        </w:rPr>
        <w:t>Languages Known</w:t>
      </w:r>
      <w:r>
        <w:rPr>
          <w:rFonts w:ascii="Verdana" w:hAnsi="Verdana"/>
          <w:sz w:val="20"/>
          <w:szCs w:val="20"/>
          <w:lang w:val="en-GB"/>
        </w:rPr>
        <w:t>: English, Hindi, and Marathi</w:t>
      </w:r>
    </w:p>
    <w:p>
      <w:pPr>
        <w:jc w:val="center"/>
        <w:rPr>
          <w:rFonts w:ascii="Verdana" w:hAnsi="Verdana"/>
          <w:b/>
          <w:sz w:val="20"/>
          <w:szCs w:val="20"/>
          <w:lang w:val="en-GB"/>
        </w:rPr>
      </w:pPr>
      <w:r>
        <w:rPr>
          <w:rFonts w:ascii="Verdana" w:hAnsi="Verdana"/>
          <w:b/>
          <w:sz w:val="20"/>
          <w:szCs w:val="20"/>
          <w:lang w:val="en-GB"/>
        </w:rPr>
        <w:t>Add:</w:t>
      </w:r>
      <w:r>
        <w:rPr>
          <w:b/>
          <w:sz w:val="20"/>
          <w:szCs w:val="20"/>
          <w:lang w:val="en-US"/>
        </w:rPr>
        <w:t>406,Happy home co op ,Jungle mungal Road, Bhandup west</w:t>
      </w:r>
    </w:p>
    <w:p>
      <w:pPr>
        <w:jc w:val="center"/>
        <w:rPr>
          <w:rFonts w:ascii="Verdana" w:hAnsi="Verdana"/>
          <w:sz w:val="20"/>
          <w:szCs w:val="20"/>
          <w:lang w:val="en-GB"/>
        </w:rPr>
      </w:pPr>
      <w:r>
        <w:rPr>
          <w:rFonts w:ascii="Verdana" w:hAnsi="Verdana"/>
          <w:sz w:val="20"/>
          <w:szCs w:val="20"/>
          <w:lang w:val="en-GB"/>
        </w:rPr>
        <w:t xml:space="preserve"> Marital Status:-Married</w:t>
      </w:r>
    </w:p>
    <w:p>
      <w:pPr>
        <w:rPr>
          <w:rFonts w:ascii="Verdana" w:hAnsi="Verdana"/>
          <w:sz w:val="20"/>
          <w:szCs w:val="20"/>
          <w:lang w:val="en-GB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cs="Verdana" w:hAnsi="Verdana"/>
          <w:b/>
          <w:bCs/>
          <w:sz w:val="20"/>
          <w:szCs w:val="20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cs="Verdana" w:hAnsi="Verdana"/>
          <w:b/>
          <w:bCs/>
          <w:sz w:val="20"/>
          <w:szCs w:val="20"/>
        </w:rPr>
      </w:pPr>
      <w:r>
        <w:rPr>
          <w:rFonts w:ascii="Verdana" w:cs="Verdana" w:hAnsi="Verdana"/>
          <w:b/>
          <w:bCs/>
          <w:sz w:val="20"/>
          <w:szCs w:val="20"/>
        </w:rPr>
        <w:t>Place: Mumbai</w:t>
      </w: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cs="Verdana" w:hAnsi="Verdana"/>
          <w:b/>
          <w:bCs/>
          <w:sz w:val="20"/>
          <w:szCs w:val="20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cs="Verdana" w:hAnsi="Verdana"/>
          <w:b/>
          <w:bCs/>
          <w:sz w:val="20"/>
          <w:szCs w:val="20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cs="Verdana" w:hAnsi="Verdana"/>
          <w:b/>
          <w:bCs/>
          <w:sz w:val="20"/>
          <w:szCs w:val="20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cs="Verdana" w:hAnsi="Verdana"/>
          <w:b/>
          <w:bCs/>
          <w:sz w:val="20"/>
          <w:szCs w:val="20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cs="Verdana" w:hAnsi="Verdana"/>
          <w:b/>
          <w:bCs/>
          <w:sz w:val="24"/>
          <w:szCs w:val="24"/>
        </w:rPr>
      </w:pPr>
      <w:r>
        <w:rPr>
          <w:rFonts w:ascii="Verdana" w:cs="Verdana" w:hAnsi="Verdana"/>
          <w:b/>
          <w:bCs/>
          <w:sz w:val="20"/>
          <w:szCs w:val="20"/>
        </w:rPr>
        <w:t>Date:</w:t>
      </w:r>
      <w:r>
        <w:rPr>
          <w:rFonts w:ascii="Verdana" w:cs="Verdana" w:hAnsi="Verdana"/>
          <w:b/>
          <w:bCs/>
          <w:sz w:val="24"/>
          <w:szCs w:val="24"/>
        </w:rPr>
        <w:t>Rupali C Jadhav</w:t>
      </w: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cs="Verdana" w:hAnsi="Verdana"/>
          <w:sz w:val="24"/>
          <w:szCs w:val="24"/>
        </w:rPr>
      </w:pPr>
    </w:p>
    <w:p>
      <w:pPr>
        <w:widowControl w:val="0"/>
        <w:autoSpaceDE w:val="0"/>
        <w:autoSpaceDN w:val="0"/>
        <w:adjustRightInd w:val="0"/>
        <w:rPr>
          <w:rFonts w:ascii="Verdana" w:cs="Verdana" w:hAnsi="Verdana"/>
        </w:rPr>
      </w:pPr>
    </w:p>
    <w:p>
      <w:pPr>
        <w:spacing w:before="100" w:beforeAutospacing="1" w:after="180" w:line="360" w:lineRule="atLeast"/>
        <w:rPr>
          <w:rFonts w:ascii="Arial" w:cs="Arial" w:hAnsi="Arial"/>
          <w:color w:val="4E5C64"/>
          <w:sz w:val="21"/>
          <w:szCs w:val="21"/>
        </w:rPr>
      </w:pPr>
      <w:r>
        <w:rPr>
          <w:rFonts w:ascii="Verdana" w:hAnsi="Verdana"/>
          <w:sz w:val="20"/>
          <w:szCs w:val="20"/>
          <w:lang w:val="en-GB"/>
        </w:rPr>
        <w:br w:type="page"/>
      </w:r>
    </w:p>
    <w:p>
      <w:pPr>
        <w:jc w:val="center"/>
        <w:rPr>
          <w:rFonts w:ascii="Verdana" w:hAnsi="Verdana"/>
          <w:sz w:val="20"/>
          <w:szCs w:val="20"/>
          <w:lang w:val="en-GB"/>
        </w:rPr>
      </w:pPr>
    </w:p>
    <w:sectPr>
      <w:footerReference w:type="default" r:id="rId2"/>
      <w:type w:val="continuous"/>
      <w:pgSz w:w="11909" w:h="16560"/>
      <w:pgMar w:top="1296" w:right="1152" w:bottom="1296" w:left="1152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Book Antiqua">
    <w:panose1 w:val="02040602050000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000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000020404"/>
    <w:charset w:val="00"/>
    <w:family w:val="modern"/>
    <w:pitch w:val="variable"/>
    <w:sig w:usb0="E0002AFF" w:usb1="C0007843" w:usb2="00000009" w:usb3="00000000" w:csb0="000001FF" w:csb1="00000000"/>
  </w:font>
  <w:font w:name="Symbol">
    <w:panose1 w:val="05050102010000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pBdr>
        <w:top w:val="dotted" w:sz="4" w:space="1" w:color="auto"/>
      </w:pBdr>
      <w:tabs>
        <w:tab w:val="center" w:pos="4680"/>
        <w:tab w:val="right" w:pos="9360"/>
      </w:tabs>
      <w:jc w:val="center"/>
      <w:rPr>
        <w:rFonts w:ascii="Book Antiqua" w:hAnsi="Book Antiqua"/>
        <w:sz w:val="20"/>
        <w:szCs w:val="20"/>
      </w:rPr>
    </w:pPr>
    <w:r>
      <w:rPr>
        <w:rFonts w:ascii="Book Antiqua" w:hAnsi="Book Antiqua"/>
        <w:sz w:val="20"/>
        <w:szCs w:val="20"/>
      </w:rPr>
      <w:t xml:space="preserve">Page </w:t>
    </w:r>
    <w:r>
      <w:rPr>
        <w:rFonts w:ascii="Book Antiqua" w:hAnsi="Book Antiqua"/>
        <w:b/>
        <w:sz w:val="20"/>
        <w:szCs w:val="20"/>
      </w:rPr>
      <w:fldChar w:fldCharType="begin"/>
    </w:r>
    <w:r>
      <w:rPr>
        <w:rFonts w:ascii="Book Antiqua" w:hAnsi="Book Antiqua"/>
        <w:b/>
        <w:sz w:val="20"/>
        <w:szCs w:val="20"/>
      </w:rPr>
      <w:instrText xml:space="preserve"> PAGE </w:instrText>
    </w:r>
    <w:r>
      <w:rPr>
        <w:rFonts w:ascii="Book Antiqua" w:hAnsi="Book Antiqua"/>
        <w:b/>
        <w:sz w:val="20"/>
        <w:szCs w:val="20"/>
      </w:rPr>
      <w:fldChar w:fldCharType="separate"/>
    </w:r>
    <w:r>
      <w:rPr>
        <w:rFonts w:ascii="Book Antiqua" w:hAnsi="Book Antiqua"/>
        <w:b/>
        <w:sz w:val="20"/>
        <w:szCs w:val="20"/>
      </w:rPr>
      <w:fldChar w:fldCharType="end"/>
    </w:r>
    <w:r>
      <w:rPr>
        <w:rFonts w:ascii="Book Antiqua" w:hAnsi="Book Antiqua"/>
        <w:sz w:val="20"/>
        <w:szCs w:val="20"/>
      </w:rPr>
      <w:t xml:space="preserve"> of </w:t>
    </w:r>
    <w:r>
      <w:rPr>
        <w:rFonts w:ascii="Book Antiqua" w:hAnsi="Book Antiqua"/>
        <w:b/>
        <w:sz w:val="20"/>
        <w:szCs w:val="20"/>
      </w:rPr>
      <w:fldChar w:fldCharType="begin"/>
    </w:r>
    <w:r>
      <w:rPr>
        <w:rFonts w:ascii="Book Antiqua" w:hAnsi="Book Antiqua"/>
        <w:b/>
        <w:sz w:val="20"/>
        <w:szCs w:val="20"/>
      </w:rPr>
      <w:instrText xml:space="preserve"> NUMPAGES  </w:instrText>
    </w:r>
    <w:r>
      <w:rPr>
        <w:rFonts w:ascii="Book Antiqua" w:hAnsi="Book Antiqua"/>
        <w:b/>
        <w:sz w:val="20"/>
        <w:szCs w:val="20"/>
      </w:rPr>
      <w:fldChar w:fldCharType="separate"/>
    </w:r>
    <w:r>
      <w:rPr>
        <w:rFonts w:ascii="Book Antiqua" w:hAnsi="Book Antiqua"/>
        <w:b/>
        <w:sz w:val="20"/>
        <w:szCs w:val="20"/>
      </w:rPr>
      <w:t>4</w:t>
    </w:r>
    <w:r>
      <w:rPr>
        <w:rFonts w:ascii="Book Antiqua" w:hAnsi="Book Antiqua"/>
        <w:b/>
        <w:sz w:val="20"/>
        <w:szCs w:val="20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hybridMultilevel"/>
    <w:tmpl w:val="148A7702"/>
    <w:lvl w:ilvl="0">
      <w:start w:val="1"/>
      <w:numFmt w:val="bullet"/>
      <w:lvlRestart w:val="0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color w:val="auto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">
    <w:multiLevelType w:val="hybridMultilevel"/>
    <w:tmpl w:val="1C1498DA"/>
    <w:lvl w:ilvl="0">
      <w:start w:val="1"/>
      <w:numFmt w:val="bullet"/>
      <w:lvlRestart w:val="0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2">
    <w:multiLevelType w:val="hybridMultilevel"/>
    <w:tmpl w:val="2F1E1FAA"/>
    <w:lvl w:ilvl="0">
      <w:start w:val="1"/>
      <w:numFmt w:val="bullet"/>
      <w:lvlRestart w:val="0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3">
    <w:multiLevelType w:val="multilevel"/>
    <w:tmpl w:val="4DC86FCA"/>
    <w:lvl w:ilvl="0">
      <w:start w:val="1"/>
      <w:numFmt w:val="bullet"/>
      <w:lvlRestart w:val="0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0"/>
        </w:tabs>
        <w:ind w:left="3240" w:hanging="360"/>
      </w:pPr>
      <w:rPr>
        <w:rFonts w:ascii="Symbol" w:hAnsi="Symbol" w:hint="default"/>
      </w:rPr>
    </w:lvl>
  </w:abstractNum>
  <w:abstractNum w:abstractNumId="4">
    <w:multiLevelType w:val="hybridMultilevel"/>
    <w:tmpl w:val="441EA570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  <w:lvlOverride w:ilvl="0">
      <w:lvl w:ilvl="0">
        <w:start w:val="1"/>
        <w:numFmt w:val="bullet"/>
        <w:lvlRestart w:val="0"/>
        <w:lvlText w:val=""/>
        <w:lvlJc w:val="left"/>
        <w:pPr>
          <w:tabs>
            <w:tab w:val="num" w:pos="0"/>
          </w:tabs>
          <w:ind w:left="720" w:hanging="360"/>
        </w:pPr>
        <w:rPr>
          <w:rFonts w:ascii="Symbol" w:hAnsi="Symbol" w:hint="default"/>
          <w:color w:val="auto"/>
          <w:sz w:val="18"/>
          <w:szCs w:val="18"/>
        </w:rPr>
      </w:lvl>
      <w:startOverride w:val="1"/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0"/>
          </w:tabs>
          <w:ind w:left="1440" w:hanging="360"/>
        </w:pPr>
      </w:lvl>
      <w:startOverride w:val="1"/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0"/>
          </w:tabs>
          <w:ind w:left="2160" w:hanging="360"/>
        </w:pPr>
      </w:lvl>
      <w:startOverride w:val="1"/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0"/>
          </w:tabs>
          <w:ind w:left="2880" w:hanging="360"/>
        </w:pPr>
      </w:lvl>
      <w:startOverride w:val="1"/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0"/>
          </w:tabs>
          <w:ind w:left="3600" w:hanging="360"/>
        </w:pPr>
      </w:lvl>
      <w:startOverride w:val="1"/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0"/>
          </w:tabs>
          <w:ind w:left="4320" w:hanging="360"/>
        </w:pPr>
      </w:lvl>
      <w:startOverride w:val="1"/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0"/>
          </w:tabs>
          <w:ind w:left="5040" w:hanging="360"/>
        </w:pPr>
      </w:lvl>
      <w:startOverride w:val="1"/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0"/>
          </w:tabs>
          <w:ind w:left="5760" w:hanging="360"/>
        </w:pPr>
      </w:lvl>
      <w:startOverride w:val="1"/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0"/>
          </w:tabs>
          <w:ind w:left="6480" w:hanging="360"/>
        </w:pPr>
      </w:lvl>
      <w:startOverride w:val="1"/>
    </w:lvlOverride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75"/>
  <w:bordersDoNotSurroundHeader/>
  <w:bordersDoNotSurroundFooter/>
  <w:defaultTabStop w:val="720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Calibri" w:eastAsia="Calibri" w:cs="Times New Roman" w:hAnsi="Calibri"/>
      <w:sz w:val="22"/>
      <w:szCs w:val="22"/>
      <w:lang w:val="en-US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character" w:styleId="15">
    <w:name w:val="Hyperlink"/>
    <w:rPr>
      <w:color w:val="0000FF"/>
      <w:u w:val="single"/>
    </w:rPr>
  </w:style>
  <w:style w:type="paragraph" w:styleId="16">
    <w:name w:val="header"/>
    <w:basedOn w:val="0"/>
    <w:pPr>
      <w:tabs>
        <w:tab w:val="center" w:pos="4680"/>
        <w:tab w:val="right" w:pos="9360"/>
      </w:tabs>
    </w:pPr>
  </w:style>
  <w:style w:type="paragraph" w:styleId="17">
    <w:name w:val="footer"/>
    <w:basedOn w:val="0"/>
    <w:pPr>
      <w:tabs>
        <w:tab w:val="center" w:pos="4680"/>
        <w:tab w:val="right" w:pos="9360"/>
      </w:tabs>
    </w:pPr>
  </w:style>
  <w:style w:type="paragraph" w:customStyle="1" w:styleId="18">
    <w:name w:val="No Spacing"/>
    <w:rPr>
      <w:rFonts w:ascii="Calibri" w:eastAsia="Calibri" w:cs="Times New Roman" w:hAnsi="Calibri"/>
      <w:sz w:val="22"/>
      <w:szCs w:val="22"/>
      <w:lang w:val="en-US" w:eastAsia="en-US" w:bidi="ar-SA"/>
    </w:rPr>
  </w:style>
  <w:style w:type="character" w:customStyle="1" w:styleId="19">
    <w:name w:val="q1"/>
    <w:rPr>
      <w:color w:val="550055"/>
    </w:rPr>
  </w:style>
  <w:style w:type="paragraph" w:customStyle="1" w:styleId="20">
    <w:name w:val="Achievement"/>
    <w:basedOn w:val="0"/>
    <w:pPr>
      <w:pBdr>
        <w:left w:val="single" w:sz="6" w:space="5" w:color="auto"/>
      </w:pBdr>
      <w:spacing w:after="8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21">
    <w:name w:val="yiv6094285115msonormal"/>
    <w:basedOn w:val="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38</TotalTime>
  <Application>Office</Application>
  <Pages>5</Pages>
  <Words>588</Words>
  <Characters>3815</Characters>
  <Lines>179</Lines>
  <Paragraphs>100</Paragraphs>
  <CharactersWithSpaces>4366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Mobile phone user</cp:lastModifiedBy>
  <cp:revision>0</cp:revision>
  <dcterms:modified xsi:type="dcterms:W3CDTF">2026-03-06T03:42:38Z</dcterms:modified>
</cp:coreProperties>
</file>